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19" w:rsidRPr="0060541D" w:rsidRDefault="00ED5BB2" w:rsidP="006054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0541D">
        <w:rPr>
          <w:rFonts w:ascii="Times New Roman" w:hAnsi="Times New Roman" w:cs="Times New Roman"/>
          <w:b/>
          <w:sz w:val="24"/>
          <w:szCs w:val="24"/>
        </w:rPr>
        <w:t>трахов</w:t>
      </w:r>
      <w:r w:rsidR="002C7F6E">
        <w:rPr>
          <w:rFonts w:ascii="Times New Roman" w:hAnsi="Times New Roman" w:cs="Times New Roman"/>
          <w:b/>
          <w:sz w:val="24"/>
          <w:szCs w:val="24"/>
        </w:rPr>
        <w:t>ая пенсия</w:t>
      </w:r>
      <w:r w:rsidRPr="0060541D">
        <w:rPr>
          <w:rFonts w:ascii="Times New Roman" w:hAnsi="Times New Roman" w:cs="Times New Roman"/>
          <w:b/>
          <w:sz w:val="24"/>
          <w:szCs w:val="24"/>
        </w:rPr>
        <w:t xml:space="preserve"> по старости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05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0A7" w:rsidRPr="0060541D">
        <w:rPr>
          <w:rFonts w:ascii="Times New Roman" w:hAnsi="Times New Roman" w:cs="Times New Roman"/>
          <w:b/>
          <w:sz w:val="24"/>
          <w:szCs w:val="24"/>
        </w:rPr>
        <w:t>Что нужно знать жителям округа</w:t>
      </w:r>
    </w:p>
    <w:p w:rsidR="002E10A7" w:rsidRPr="000B6368" w:rsidRDefault="002E10A7" w:rsidP="00563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02DE5" w:rsidRPr="000B6368" w:rsidRDefault="00ED5BB2" w:rsidP="0060541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трахов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ая</w:t>
      </w:r>
      <w:r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пенси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я</w:t>
      </w:r>
      <w:r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по старости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– это основной вид пенсии в России, в том числе в Новооскольском городском округе. </w:t>
      </w:r>
      <w:r w:rsidR="00563A7F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настоящее время</w:t>
      </w:r>
      <w:r w:rsidR="00702FF4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размер страховой пенсии по старости</w:t>
      </w:r>
      <w:r w:rsidR="00563A7F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2FF4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рассчитывается с применением </w:t>
      </w:r>
      <w:r w:rsidR="00702FF4" w:rsidRPr="000B6368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индивидуальных пенсионных</w:t>
      </w:r>
      <w:r w:rsidR="00563A7F" w:rsidRPr="000B6368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02FF4" w:rsidRPr="000B6368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коэффициентов</w:t>
      </w:r>
      <w:r w:rsidR="00702FF4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которые начисляются за каждый год трудовой</w:t>
      </w:r>
      <w:r w:rsidR="00563A7F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2FF4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деятельности гражданина.</w:t>
      </w:r>
      <w:r w:rsidR="0060541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Работодатель должен е</w:t>
      </w:r>
      <w:r w:rsidR="00D02DE5" w:rsidRPr="000B6368">
        <w:rPr>
          <w:rFonts w:ascii="Times New Roman" w:hAnsi="Times New Roman" w:cs="Times New Roman"/>
          <w:sz w:val="24"/>
          <w:szCs w:val="24"/>
        </w:rPr>
        <w:t>жемесячно уплачиват</w:t>
      </w:r>
      <w:r w:rsidR="0060541D">
        <w:rPr>
          <w:rFonts w:ascii="Times New Roman" w:hAnsi="Times New Roman" w:cs="Times New Roman"/>
          <w:sz w:val="24"/>
          <w:szCs w:val="24"/>
        </w:rPr>
        <w:t>ь</w:t>
      </w:r>
      <w:r w:rsidR="00D02DE5" w:rsidRPr="000B6368">
        <w:rPr>
          <w:rFonts w:ascii="Times New Roman" w:hAnsi="Times New Roman" w:cs="Times New Roman"/>
          <w:sz w:val="24"/>
          <w:szCs w:val="24"/>
        </w:rPr>
        <w:t xml:space="preserve"> страховые взносы на обязательное пенсионное страхование</w:t>
      </w:r>
      <w:r w:rsidR="0060541D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D02DE5" w:rsidRPr="000B6368">
        <w:rPr>
          <w:rFonts w:ascii="Times New Roman" w:hAnsi="Times New Roman" w:cs="Times New Roman"/>
          <w:sz w:val="24"/>
          <w:szCs w:val="24"/>
        </w:rPr>
        <w:t>,</w:t>
      </w:r>
      <w:r w:rsidR="000B6368" w:rsidRPr="000B6368">
        <w:rPr>
          <w:rFonts w:ascii="Times New Roman" w:hAnsi="Times New Roman" w:cs="Times New Roman"/>
          <w:sz w:val="24"/>
          <w:szCs w:val="24"/>
        </w:rPr>
        <w:t xml:space="preserve"> </w:t>
      </w:r>
      <w:r w:rsidR="00D02DE5" w:rsidRPr="000B6368">
        <w:rPr>
          <w:rFonts w:ascii="Times New Roman" w:hAnsi="Times New Roman" w:cs="Times New Roman"/>
          <w:sz w:val="24"/>
          <w:szCs w:val="24"/>
        </w:rPr>
        <w:t xml:space="preserve">из которых формируется </w:t>
      </w:r>
      <w:r w:rsidR="0060541D">
        <w:rPr>
          <w:rFonts w:ascii="Times New Roman" w:hAnsi="Times New Roman" w:cs="Times New Roman"/>
          <w:sz w:val="24"/>
          <w:szCs w:val="24"/>
        </w:rPr>
        <w:t>их</w:t>
      </w:r>
      <w:r w:rsidR="00D02DE5" w:rsidRPr="000B6368">
        <w:rPr>
          <w:rFonts w:ascii="Times New Roman" w:hAnsi="Times New Roman" w:cs="Times New Roman"/>
          <w:sz w:val="24"/>
          <w:szCs w:val="24"/>
        </w:rPr>
        <w:t xml:space="preserve"> будущая пенсия. </w:t>
      </w:r>
      <w:r w:rsidR="0060541D">
        <w:rPr>
          <w:rFonts w:ascii="Times New Roman" w:hAnsi="Times New Roman" w:cs="Times New Roman"/>
          <w:sz w:val="24"/>
          <w:szCs w:val="24"/>
        </w:rPr>
        <w:t>Р</w:t>
      </w:r>
      <w:r w:rsidR="00D02DE5" w:rsidRPr="000B6368">
        <w:rPr>
          <w:rFonts w:ascii="Times New Roman" w:hAnsi="Times New Roman" w:cs="Times New Roman"/>
          <w:sz w:val="24"/>
          <w:szCs w:val="24"/>
        </w:rPr>
        <w:t xml:space="preserve">азмер </w:t>
      </w:r>
      <w:r w:rsidR="0060541D">
        <w:rPr>
          <w:rFonts w:ascii="Times New Roman" w:hAnsi="Times New Roman" w:cs="Times New Roman"/>
          <w:sz w:val="24"/>
          <w:szCs w:val="24"/>
        </w:rPr>
        <w:t xml:space="preserve">взносов </w:t>
      </w:r>
      <w:r w:rsidR="00D02DE5" w:rsidRPr="000B6368">
        <w:rPr>
          <w:rFonts w:ascii="Times New Roman" w:hAnsi="Times New Roman" w:cs="Times New Roman"/>
          <w:sz w:val="24"/>
          <w:szCs w:val="24"/>
        </w:rPr>
        <w:t>рассчитывается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DE5" w:rsidRPr="000B6368">
        <w:rPr>
          <w:rFonts w:ascii="Times New Roman" w:hAnsi="Times New Roman" w:cs="Times New Roman"/>
          <w:sz w:val="24"/>
          <w:szCs w:val="24"/>
        </w:rPr>
        <w:t>исходя из размера заработка</w:t>
      </w:r>
      <w:r w:rsidR="0060541D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A80A54">
        <w:rPr>
          <w:rFonts w:ascii="Times New Roman" w:hAnsi="Times New Roman" w:cs="Times New Roman"/>
          <w:sz w:val="24"/>
          <w:szCs w:val="24"/>
        </w:rPr>
        <w:t xml:space="preserve"> (</w:t>
      </w:r>
      <w:r w:rsidR="00D02DE5" w:rsidRPr="000B6368">
        <w:rPr>
          <w:rFonts w:ascii="Times New Roman" w:hAnsi="Times New Roman" w:cs="Times New Roman"/>
          <w:sz w:val="24"/>
          <w:szCs w:val="24"/>
        </w:rPr>
        <w:t>эти отчисления не удерживаются из зарплаты</w:t>
      </w:r>
      <w:r w:rsidR="0060541D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A80A54">
        <w:rPr>
          <w:rFonts w:ascii="Times New Roman" w:hAnsi="Times New Roman" w:cs="Times New Roman"/>
          <w:sz w:val="24"/>
          <w:szCs w:val="24"/>
        </w:rPr>
        <w:t>)</w:t>
      </w:r>
      <w:r w:rsidR="00D02DE5" w:rsidRPr="000B6368">
        <w:rPr>
          <w:rFonts w:ascii="Times New Roman" w:hAnsi="Times New Roman" w:cs="Times New Roman"/>
          <w:sz w:val="24"/>
          <w:szCs w:val="24"/>
        </w:rPr>
        <w:t>.</w:t>
      </w:r>
      <w:r w:rsidR="0060541D">
        <w:rPr>
          <w:rFonts w:ascii="Times New Roman" w:hAnsi="Times New Roman" w:cs="Times New Roman"/>
          <w:sz w:val="24"/>
          <w:szCs w:val="24"/>
        </w:rPr>
        <w:t xml:space="preserve"> С</w:t>
      </w:r>
      <w:r w:rsidR="00D02DE5" w:rsidRPr="000B6368">
        <w:rPr>
          <w:rFonts w:ascii="Times New Roman" w:hAnsi="Times New Roman" w:cs="Times New Roman"/>
          <w:sz w:val="24"/>
          <w:szCs w:val="24"/>
        </w:rPr>
        <w:t>умма страховых взносов</w:t>
      </w:r>
      <w:r w:rsidR="0060541D">
        <w:rPr>
          <w:rFonts w:ascii="Times New Roman" w:hAnsi="Times New Roman" w:cs="Times New Roman"/>
          <w:sz w:val="24"/>
          <w:szCs w:val="24"/>
        </w:rPr>
        <w:t>, уплаченных работодателем,</w:t>
      </w:r>
      <w:r w:rsidR="00D02DE5" w:rsidRPr="000B6368">
        <w:rPr>
          <w:rFonts w:ascii="Times New Roman" w:hAnsi="Times New Roman" w:cs="Times New Roman"/>
          <w:sz w:val="24"/>
          <w:szCs w:val="24"/>
        </w:rPr>
        <w:t xml:space="preserve"> учитывается на индивидуальном лицевом счете</w:t>
      </w:r>
      <w:r w:rsidR="0060541D">
        <w:rPr>
          <w:rFonts w:ascii="Times New Roman" w:hAnsi="Times New Roman" w:cs="Times New Roman"/>
          <w:sz w:val="24"/>
          <w:szCs w:val="24"/>
        </w:rPr>
        <w:t xml:space="preserve"> </w:t>
      </w:r>
      <w:r w:rsidR="00D02DE5" w:rsidRPr="000B6368">
        <w:rPr>
          <w:rFonts w:ascii="Times New Roman" w:hAnsi="Times New Roman" w:cs="Times New Roman"/>
          <w:sz w:val="24"/>
          <w:szCs w:val="24"/>
        </w:rPr>
        <w:t>гражданина и ежегодно пересчитывается в индивидуальные пенсионные коэффициенты</w:t>
      </w:r>
      <w:r w:rsidR="000B6368" w:rsidRPr="000B6368">
        <w:rPr>
          <w:rFonts w:ascii="Times New Roman" w:hAnsi="Times New Roman" w:cs="Times New Roman"/>
          <w:sz w:val="24"/>
          <w:szCs w:val="24"/>
        </w:rPr>
        <w:t>.</w:t>
      </w:r>
      <w:r w:rsidR="0060541D">
        <w:rPr>
          <w:rFonts w:ascii="Times New Roman" w:hAnsi="Times New Roman" w:cs="Times New Roman"/>
          <w:sz w:val="24"/>
          <w:szCs w:val="24"/>
        </w:rPr>
        <w:t xml:space="preserve"> </w:t>
      </w:r>
      <w:r w:rsidR="00A80A54">
        <w:rPr>
          <w:rFonts w:ascii="Times New Roman" w:hAnsi="Times New Roman" w:cs="Times New Roman"/>
          <w:sz w:val="24"/>
          <w:szCs w:val="24"/>
        </w:rPr>
        <w:t>Если р</w:t>
      </w:r>
      <w:r w:rsidR="003E0984" w:rsidRPr="000B6368">
        <w:rPr>
          <w:rFonts w:ascii="Times New Roman" w:hAnsi="Times New Roman" w:cs="Times New Roman"/>
          <w:sz w:val="24"/>
          <w:szCs w:val="24"/>
        </w:rPr>
        <w:t>аботодателей несколько</w:t>
      </w:r>
      <w:r w:rsidR="00A80A54">
        <w:rPr>
          <w:rFonts w:ascii="Times New Roman" w:hAnsi="Times New Roman" w:cs="Times New Roman"/>
          <w:sz w:val="24"/>
          <w:szCs w:val="24"/>
        </w:rPr>
        <w:t xml:space="preserve">, </w:t>
      </w:r>
      <w:r w:rsidR="003E0984" w:rsidRPr="000B6368">
        <w:rPr>
          <w:rFonts w:ascii="Times New Roman" w:hAnsi="Times New Roman" w:cs="Times New Roman"/>
          <w:sz w:val="24"/>
          <w:szCs w:val="24"/>
        </w:rPr>
        <w:t>тогда страховые взносы суммируются</w:t>
      </w:r>
      <w:r w:rsidR="008B0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E0984" w:rsidRPr="000B6368">
        <w:rPr>
          <w:rFonts w:ascii="Times New Roman" w:hAnsi="Times New Roman" w:cs="Times New Roman"/>
          <w:sz w:val="24"/>
          <w:szCs w:val="24"/>
        </w:rPr>
        <w:t xml:space="preserve">уммарное количество пенсионных коэффициентов </w:t>
      </w:r>
      <w:r w:rsidR="0060541D">
        <w:rPr>
          <w:rFonts w:ascii="Times New Roman" w:hAnsi="Times New Roman" w:cs="Times New Roman"/>
          <w:sz w:val="24"/>
          <w:szCs w:val="24"/>
        </w:rPr>
        <w:t xml:space="preserve">за год </w:t>
      </w:r>
      <w:r w:rsidR="003E0984" w:rsidRPr="000B6368">
        <w:rPr>
          <w:rFonts w:ascii="Times New Roman" w:hAnsi="Times New Roman" w:cs="Times New Roman"/>
          <w:sz w:val="24"/>
          <w:szCs w:val="24"/>
        </w:rPr>
        <w:t>не может превышать максимальное</w:t>
      </w:r>
      <w:r w:rsidR="0060541D">
        <w:rPr>
          <w:rFonts w:ascii="Times New Roman" w:hAnsi="Times New Roman" w:cs="Times New Roman"/>
          <w:sz w:val="24"/>
          <w:szCs w:val="24"/>
        </w:rPr>
        <w:t xml:space="preserve"> </w:t>
      </w:r>
      <w:r w:rsidR="003E0984" w:rsidRPr="000B6368">
        <w:rPr>
          <w:rFonts w:ascii="Times New Roman" w:hAnsi="Times New Roman" w:cs="Times New Roman"/>
          <w:sz w:val="24"/>
          <w:szCs w:val="24"/>
        </w:rPr>
        <w:t>значение, установленное законодательством</w:t>
      </w:r>
      <w:r w:rsidR="0060541D">
        <w:rPr>
          <w:rFonts w:ascii="Times New Roman" w:hAnsi="Times New Roman" w:cs="Times New Roman"/>
          <w:sz w:val="24"/>
          <w:szCs w:val="24"/>
        </w:rPr>
        <w:t xml:space="preserve">: </w:t>
      </w:r>
      <w:r w:rsidR="003E0984" w:rsidRPr="000B6368">
        <w:rPr>
          <w:rFonts w:ascii="Times New Roman" w:hAnsi="Times New Roman" w:cs="Times New Roman"/>
          <w:sz w:val="24"/>
          <w:szCs w:val="24"/>
        </w:rPr>
        <w:t>в 2020 году – 9,57</w:t>
      </w:r>
      <w:r w:rsidR="008B0D55">
        <w:rPr>
          <w:rFonts w:ascii="Times New Roman" w:hAnsi="Times New Roman" w:cs="Times New Roman"/>
          <w:sz w:val="24"/>
          <w:szCs w:val="24"/>
        </w:rPr>
        <w:t>, в 2021 году и далее – 10 (при формировании только страховой пенсии</w:t>
      </w:r>
      <w:r w:rsidR="0060541D">
        <w:rPr>
          <w:rFonts w:ascii="Times New Roman" w:hAnsi="Times New Roman" w:cs="Times New Roman"/>
          <w:sz w:val="24"/>
          <w:szCs w:val="24"/>
        </w:rPr>
        <w:t>)</w:t>
      </w:r>
      <w:r w:rsidR="003E0984" w:rsidRPr="000B6368">
        <w:rPr>
          <w:rFonts w:ascii="Times New Roman" w:hAnsi="Times New Roman" w:cs="Times New Roman"/>
          <w:sz w:val="24"/>
          <w:szCs w:val="24"/>
        </w:rPr>
        <w:t>.</w:t>
      </w:r>
    </w:p>
    <w:p w:rsidR="000B6368" w:rsidRDefault="00800FB6" w:rsidP="0060541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Право на страховую пенсию по старости на общих основаниях возникает</w:t>
      </w:r>
      <w:r w:rsidR="000B6368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D55">
        <w:rPr>
          <w:rFonts w:ascii="Times New Roman" w:hAnsi="Times New Roman" w:cs="Times New Roman"/>
          <w:sz w:val="24"/>
          <w:szCs w:val="24"/>
        </w:rPr>
        <w:t xml:space="preserve">у человека </w:t>
      </w:r>
      <w:r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том случае, если одновременно выполняются следующие условия:</w:t>
      </w:r>
    </w:p>
    <w:p w:rsidR="000B6368" w:rsidRDefault="000B6368" w:rsidP="0060541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800FB6" w:rsidRPr="000B6368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наличие минимальной продолжительности страхового стажа.</w:t>
      </w:r>
      <w:r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00FB6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2020 году – 11 лет с последующим ежегодным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0FB6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увеличением на один год до 15 лет к 2024 году;</w:t>
      </w:r>
    </w:p>
    <w:p w:rsidR="000B6368" w:rsidRDefault="000B6368" w:rsidP="0060541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800FB6" w:rsidRPr="000B6368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наличие минимальной величины индивидуального пенсионного</w:t>
      </w:r>
      <w:r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00FB6" w:rsidRPr="000B6368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коэффициента. </w:t>
      </w:r>
      <w:r w:rsidR="00800FB6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2020 году – 18,6 с последующим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0FB6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ежегодным увеличением на 2,4 до достижения величины индивидуального пенсионного коэффициента 30 к 2025 году;</w:t>
      </w:r>
    </w:p>
    <w:p w:rsidR="00A80A54" w:rsidRPr="007413ED" w:rsidRDefault="000B6368" w:rsidP="00A80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800FB6" w:rsidRPr="000B6368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достижение общеустановленного пенсионного возраста. </w:t>
      </w:r>
      <w:r w:rsidR="00800FB6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20</w:t>
      </w:r>
      <w:r w:rsidR="00ED5BB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20</w:t>
      </w:r>
      <w:r w:rsidR="00800FB6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году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0FB6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для женщин</w:t>
      </w:r>
      <w:r w:rsidR="00ED5BB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800FB6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5</w:t>
      </w:r>
      <w:r w:rsidR="00ED5BB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7</w:t>
      </w:r>
      <w:r w:rsidR="00800FB6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лет, для мужчин </w:t>
      </w:r>
      <w:r w:rsidR="00ED5BB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800FB6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6</w:t>
      </w:r>
      <w:r w:rsidR="00ED5BB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</w:t>
      </w:r>
      <w:r w:rsidR="00800FB6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ED5BB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а</w:t>
      </w:r>
      <w:r w:rsidR="00800FB6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с последующим увеличением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0FB6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до достижения 60 лет </w:t>
      </w:r>
      <w:r w:rsidR="00ED5BB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800FB6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для женщин и 65 лет</w:t>
      </w:r>
      <w:r w:rsidR="00ED5BB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800FB6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для мужчин к 2028 году</w:t>
      </w:r>
      <w:r w:rsidR="00B569DF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B569DF" w:rsidRPr="00B569DF">
        <w:rPr>
          <w:rFonts w:ascii="Times New Roman" w:hAnsi="Times New Roman" w:cs="Times New Roman"/>
          <w:sz w:val="24"/>
          <w:szCs w:val="24"/>
        </w:rPr>
        <w:t>Для граждан, которым по условиям прежнего законодательства предстояло выйти на пенсию</w:t>
      </w:r>
      <w:r w:rsidR="00B569DF">
        <w:rPr>
          <w:rFonts w:ascii="Times New Roman" w:hAnsi="Times New Roman" w:cs="Times New Roman"/>
          <w:sz w:val="24"/>
          <w:szCs w:val="24"/>
        </w:rPr>
        <w:t xml:space="preserve"> </w:t>
      </w:r>
      <w:r w:rsidR="00B569DF" w:rsidRPr="00B569DF">
        <w:rPr>
          <w:rFonts w:ascii="Times New Roman" w:hAnsi="Times New Roman" w:cs="Times New Roman"/>
          <w:sz w:val="24"/>
          <w:szCs w:val="24"/>
        </w:rPr>
        <w:t>в 2019</w:t>
      </w:r>
      <w:r w:rsidR="008B0D55">
        <w:rPr>
          <w:rFonts w:ascii="Times New Roman" w:hAnsi="Times New Roman" w:cs="Times New Roman"/>
          <w:sz w:val="24"/>
          <w:szCs w:val="24"/>
        </w:rPr>
        <w:t xml:space="preserve"> </w:t>
      </w:r>
      <w:r w:rsidR="00B569DF" w:rsidRPr="00B569DF">
        <w:rPr>
          <w:rFonts w:ascii="Times New Roman" w:hAnsi="Times New Roman" w:cs="Times New Roman"/>
          <w:sz w:val="24"/>
          <w:szCs w:val="24"/>
        </w:rPr>
        <w:t>–</w:t>
      </w:r>
      <w:r w:rsidR="008B0D55">
        <w:rPr>
          <w:rFonts w:ascii="Times New Roman" w:hAnsi="Times New Roman" w:cs="Times New Roman"/>
          <w:sz w:val="24"/>
          <w:szCs w:val="24"/>
        </w:rPr>
        <w:t xml:space="preserve"> </w:t>
      </w:r>
      <w:r w:rsidR="00B569DF" w:rsidRPr="00B569DF">
        <w:rPr>
          <w:rFonts w:ascii="Times New Roman" w:hAnsi="Times New Roman" w:cs="Times New Roman"/>
          <w:sz w:val="24"/>
          <w:szCs w:val="24"/>
        </w:rPr>
        <w:t>2020 г</w:t>
      </w:r>
      <w:r w:rsidR="008B0D55">
        <w:rPr>
          <w:rFonts w:ascii="Times New Roman" w:hAnsi="Times New Roman" w:cs="Times New Roman"/>
          <w:sz w:val="24"/>
          <w:szCs w:val="24"/>
        </w:rPr>
        <w:t>одах</w:t>
      </w:r>
      <w:r w:rsidR="00B569DF" w:rsidRPr="00B569DF">
        <w:rPr>
          <w:rFonts w:ascii="Times New Roman" w:hAnsi="Times New Roman" w:cs="Times New Roman"/>
          <w:sz w:val="24"/>
          <w:szCs w:val="24"/>
        </w:rPr>
        <w:t>, предусмотрена специальная льгота – выход на пенсию на полгода раньше</w:t>
      </w:r>
      <w:r w:rsidR="00B569DF">
        <w:rPr>
          <w:rFonts w:ascii="Times New Roman" w:hAnsi="Times New Roman" w:cs="Times New Roman"/>
          <w:sz w:val="24"/>
          <w:szCs w:val="24"/>
        </w:rPr>
        <w:t xml:space="preserve"> </w:t>
      </w:r>
      <w:r w:rsidR="00B569DF" w:rsidRPr="00B569DF">
        <w:rPr>
          <w:rFonts w:ascii="Times New Roman" w:hAnsi="Times New Roman" w:cs="Times New Roman"/>
          <w:sz w:val="24"/>
          <w:szCs w:val="24"/>
        </w:rPr>
        <w:t>нового пенсионного возраста.</w:t>
      </w:r>
      <w:r w:rsidR="00A80A54">
        <w:rPr>
          <w:rFonts w:ascii="Times New Roman" w:hAnsi="Times New Roman" w:cs="Times New Roman"/>
          <w:sz w:val="24"/>
          <w:szCs w:val="24"/>
        </w:rPr>
        <w:t xml:space="preserve"> То есть д</w:t>
      </w:r>
      <w:r w:rsidR="00A80A54" w:rsidRPr="007413E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граждан, достигающих прежнего пенсионного возраста (55 лет – женщины, 60 лет - мужчины) в 2020 году, право на страховую пенсию по старости наступит через полтора года – во второй половине 2021 года или в первой половине 2022 года в зависимости от даты рождения.</w:t>
      </w:r>
      <w:r w:rsidR="00A8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80A54" w:rsidRPr="0074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 право на страховую пенсию по старости </w:t>
      </w:r>
      <w:r w:rsidR="00A80A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A80A54" w:rsidRPr="0074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мужчины, родившиеся во 2-м полугодии 1959 года и женщины, родившиеся   во 2-м полугодии 1964 года, то есть право на пенсию у них возник</w:t>
      </w:r>
      <w:r w:rsidR="00A80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="00A80A54" w:rsidRPr="0074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в 60,5 и 55,5 лет.</w:t>
      </w:r>
    </w:p>
    <w:p w:rsidR="00702FF4" w:rsidRPr="000B6368" w:rsidRDefault="00072A3E" w:rsidP="00072A3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страховой пенсии по старости </w:t>
      </w:r>
      <w:r w:rsidR="00702FF4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зависит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от</w:t>
      </w:r>
      <w:r w:rsidR="00702FF4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размер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а </w:t>
      </w:r>
      <w:r w:rsidR="00702FF4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официальной заработной платы, продолжительност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</w:t>
      </w:r>
      <w:r w:rsidR="008B184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2FF4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страхового стажа и возраст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а </w:t>
      </w:r>
      <w:r w:rsidR="00702FF4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выхода на пенсию.</w:t>
      </w:r>
    </w:p>
    <w:p w:rsidR="00800FB6" w:rsidRPr="000B6368" w:rsidRDefault="00FC58BD" w:rsidP="0060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Работодатели уплачивают с</w:t>
      </w:r>
      <w:r w:rsidR="003D51BA" w:rsidRPr="000B6368">
        <w:rPr>
          <w:rFonts w:ascii="Times New Roman" w:hAnsi="Times New Roman" w:cs="Times New Roman"/>
          <w:sz w:val="24"/>
          <w:szCs w:val="24"/>
        </w:rPr>
        <w:t>траховые взносы на обязательное пенсионное страхование только с официальной «белой» зарплаты. При «серых»</w:t>
      </w:r>
      <w:r w:rsidR="0060541D">
        <w:rPr>
          <w:rFonts w:ascii="Times New Roman" w:hAnsi="Times New Roman" w:cs="Times New Roman"/>
          <w:sz w:val="24"/>
          <w:szCs w:val="24"/>
        </w:rPr>
        <w:t xml:space="preserve"> </w:t>
      </w:r>
      <w:r w:rsidR="003D51BA" w:rsidRPr="000B6368">
        <w:rPr>
          <w:rFonts w:ascii="Times New Roman" w:hAnsi="Times New Roman" w:cs="Times New Roman"/>
          <w:sz w:val="24"/>
          <w:szCs w:val="24"/>
        </w:rPr>
        <w:t>схемах оплаты труда страховые взносы либо уплачиваются в минимальном размере, либо не уплачиваются совсем. В этих случаях средства</w:t>
      </w:r>
      <w:r w:rsidR="0060541D">
        <w:rPr>
          <w:rFonts w:ascii="Times New Roman" w:hAnsi="Times New Roman" w:cs="Times New Roman"/>
          <w:sz w:val="24"/>
          <w:szCs w:val="24"/>
        </w:rPr>
        <w:t xml:space="preserve"> </w:t>
      </w:r>
      <w:r w:rsidR="003D51BA" w:rsidRPr="000B6368">
        <w:rPr>
          <w:rFonts w:ascii="Times New Roman" w:hAnsi="Times New Roman" w:cs="Times New Roman"/>
          <w:sz w:val="24"/>
          <w:szCs w:val="24"/>
        </w:rPr>
        <w:t>на формирование пенсионных прав гражданина не поступают или будущая</w:t>
      </w:r>
      <w:r w:rsidR="0060541D">
        <w:rPr>
          <w:rFonts w:ascii="Times New Roman" w:hAnsi="Times New Roman" w:cs="Times New Roman"/>
          <w:sz w:val="24"/>
          <w:szCs w:val="24"/>
        </w:rPr>
        <w:t xml:space="preserve"> </w:t>
      </w:r>
      <w:r w:rsidR="003D51BA" w:rsidRPr="000B6368">
        <w:rPr>
          <w:rFonts w:ascii="Times New Roman" w:hAnsi="Times New Roman" w:cs="Times New Roman"/>
          <w:sz w:val="24"/>
          <w:szCs w:val="24"/>
        </w:rPr>
        <w:t>пенсия формируется в минимальном размере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41D" w:rsidRPr="000B6368" w:rsidRDefault="0060541D" w:rsidP="0060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368">
        <w:rPr>
          <w:rFonts w:ascii="Times New Roman" w:hAnsi="Times New Roman" w:cs="Times New Roman"/>
          <w:sz w:val="24"/>
          <w:szCs w:val="24"/>
        </w:rPr>
        <w:t>Чем продолжительнее срок, в течение которого уплачивались страховые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368">
        <w:rPr>
          <w:rFonts w:ascii="Times New Roman" w:hAnsi="Times New Roman" w:cs="Times New Roman"/>
          <w:sz w:val="24"/>
          <w:szCs w:val="24"/>
        </w:rPr>
        <w:t>взносы, и выше заработная плата, тем больше сумма взносов, отраженная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368">
        <w:rPr>
          <w:rFonts w:ascii="Times New Roman" w:hAnsi="Times New Roman" w:cs="Times New Roman"/>
          <w:sz w:val="24"/>
          <w:szCs w:val="24"/>
        </w:rPr>
        <w:t>на индивидуальном лицевом счете застрахованного лица в Пенсионном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368">
        <w:rPr>
          <w:rFonts w:ascii="Times New Roman" w:hAnsi="Times New Roman" w:cs="Times New Roman"/>
          <w:sz w:val="24"/>
          <w:szCs w:val="24"/>
        </w:rPr>
        <w:t>фонде России, и тем выше будет страховая пенсия.</w:t>
      </w:r>
    </w:p>
    <w:p w:rsidR="003D51BA" w:rsidRPr="000B6368" w:rsidRDefault="003D51BA" w:rsidP="0060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368">
        <w:rPr>
          <w:rFonts w:ascii="Times New Roman" w:hAnsi="Times New Roman" w:cs="Times New Roman"/>
          <w:sz w:val="24"/>
          <w:szCs w:val="24"/>
        </w:rPr>
        <w:t xml:space="preserve">За каждый год более позднего обращения за назначением страховой пенсии после возникновения права на нее (в том числе досрочной) фиксированная выплата и страховая пенсия </w:t>
      </w:r>
      <w:r w:rsidRPr="000B6368">
        <w:rPr>
          <w:rFonts w:ascii="Times New Roman" w:hAnsi="Times New Roman" w:cs="Times New Roman"/>
          <w:bCs/>
          <w:sz w:val="24"/>
          <w:szCs w:val="24"/>
        </w:rPr>
        <w:t>увеличиваются на премиальные</w:t>
      </w:r>
      <w:r w:rsidR="006054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6368">
        <w:rPr>
          <w:rFonts w:ascii="Times New Roman" w:hAnsi="Times New Roman" w:cs="Times New Roman"/>
          <w:bCs/>
          <w:sz w:val="24"/>
          <w:szCs w:val="24"/>
        </w:rPr>
        <w:t>коэффициенты</w:t>
      </w:r>
      <w:r w:rsidRPr="000B6368">
        <w:rPr>
          <w:rFonts w:ascii="Times New Roman" w:hAnsi="Times New Roman" w:cs="Times New Roman"/>
          <w:sz w:val="24"/>
          <w:szCs w:val="24"/>
        </w:rPr>
        <w:t>.</w:t>
      </w:r>
      <w:r w:rsidR="0060541D">
        <w:rPr>
          <w:rFonts w:ascii="Times New Roman" w:hAnsi="Times New Roman" w:cs="Times New Roman"/>
          <w:sz w:val="24"/>
          <w:szCs w:val="24"/>
        </w:rPr>
        <w:t xml:space="preserve"> </w:t>
      </w:r>
      <w:r w:rsidRPr="000B6368">
        <w:rPr>
          <w:rFonts w:ascii="Times New Roman" w:hAnsi="Times New Roman" w:cs="Times New Roman"/>
          <w:sz w:val="24"/>
          <w:szCs w:val="24"/>
        </w:rPr>
        <w:t>Например, при обращении за назначением страховой пенсии по старости</w:t>
      </w:r>
      <w:r w:rsidR="0060541D">
        <w:rPr>
          <w:rFonts w:ascii="Times New Roman" w:hAnsi="Times New Roman" w:cs="Times New Roman"/>
          <w:sz w:val="24"/>
          <w:szCs w:val="24"/>
        </w:rPr>
        <w:t xml:space="preserve"> </w:t>
      </w:r>
      <w:r w:rsidRPr="000B6368">
        <w:rPr>
          <w:rFonts w:ascii="Times New Roman" w:hAnsi="Times New Roman" w:cs="Times New Roman"/>
          <w:bCs/>
          <w:sz w:val="24"/>
          <w:szCs w:val="24"/>
        </w:rPr>
        <w:t xml:space="preserve">через 5 лет </w:t>
      </w:r>
      <w:r w:rsidRPr="000B6368">
        <w:rPr>
          <w:rFonts w:ascii="Times New Roman" w:hAnsi="Times New Roman" w:cs="Times New Roman"/>
          <w:sz w:val="24"/>
          <w:szCs w:val="24"/>
        </w:rPr>
        <w:t>после возникновения права на нее общий размер пенсии</w:t>
      </w:r>
      <w:r w:rsidR="0060541D">
        <w:rPr>
          <w:rFonts w:ascii="Times New Roman" w:hAnsi="Times New Roman" w:cs="Times New Roman"/>
          <w:sz w:val="24"/>
          <w:szCs w:val="24"/>
        </w:rPr>
        <w:t xml:space="preserve"> </w:t>
      </w:r>
      <w:r w:rsidRPr="000B6368">
        <w:rPr>
          <w:rFonts w:ascii="Times New Roman" w:hAnsi="Times New Roman" w:cs="Times New Roman"/>
          <w:sz w:val="24"/>
          <w:szCs w:val="24"/>
        </w:rPr>
        <w:t>(страховая пенсия и фиксированная выплата к ней) может быть примерно</w:t>
      </w:r>
      <w:r w:rsidR="0060541D">
        <w:rPr>
          <w:rFonts w:ascii="Times New Roman" w:hAnsi="Times New Roman" w:cs="Times New Roman"/>
          <w:sz w:val="24"/>
          <w:szCs w:val="24"/>
        </w:rPr>
        <w:t xml:space="preserve"> </w:t>
      </w:r>
      <w:r w:rsidRPr="000B6368">
        <w:rPr>
          <w:rFonts w:ascii="Times New Roman" w:hAnsi="Times New Roman" w:cs="Times New Roman"/>
          <w:sz w:val="24"/>
          <w:szCs w:val="24"/>
        </w:rPr>
        <w:t xml:space="preserve">на </w:t>
      </w:r>
      <w:r w:rsidRPr="000B6368">
        <w:rPr>
          <w:rFonts w:ascii="Times New Roman" w:hAnsi="Times New Roman" w:cs="Times New Roman"/>
          <w:bCs/>
          <w:sz w:val="24"/>
          <w:szCs w:val="24"/>
        </w:rPr>
        <w:t>40</w:t>
      </w:r>
      <w:r w:rsidR="00FC58BD">
        <w:rPr>
          <w:rFonts w:ascii="Times New Roman" w:hAnsi="Times New Roman" w:cs="Times New Roman"/>
          <w:bCs/>
          <w:sz w:val="24"/>
          <w:szCs w:val="24"/>
        </w:rPr>
        <w:t xml:space="preserve"> процентов</w:t>
      </w:r>
      <w:r w:rsidRPr="000B6368">
        <w:rPr>
          <w:rFonts w:ascii="Times New Roman" w:hAnsi="Times New Roman" w:cs="Times New Roman"/>
          <w:bCs/>
          <w:sz w:val="24"/>
          <w:szCs w:val="24"/>
        </w:rPr>
        <w:t xml:space="preserve"> больше</w:t>
      </w:r>
      <w:r w:rsidR="00FC58BD">
        <w:rPr>
          <w:rFonts w:ascii="Times New Roman" w:hAnsi="Times New Roman" w:cs="Times New Roman"/>
          <w:sz w:val="24"/>
          <w:szCs w:val="24"/>
        </w:rPr>
        <w:t>, не считая ежегодных индексаций.</w:t>
      </w:r>
    </w:p>
    <w:p w:rsidR="003D51BA" w:rsidRDefault="00702FF4" w:rsidP="0060541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Узнать о сформированных пенсионных правах </w:t>
      </w:r>
      <w:r w:rsidR="00246D7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жители округа </w:t>
      </w:r>
      <w:r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мо</w:t>
      </w:r>
      <w:r w:rsidR="00246D7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гут</w:t>
      </w:r>
      <w:r w:rsidR="0060541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 помощью личного кабинета гражданина на сайте</w:t>
      </w:r>
      <w:r w:rsidR="0060541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Пенсионного фонда России </w:t>
      </w:r>
      <w:hyperlink r:id="rId4" w:history="1">
        <w:r w:rsidR="003D51BA" w:rsidRPr="000B63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www.pfrf.ru</w:t>
        </w:r>
      </w:hyperlink>
      <w:r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:rsidR="00246D72" w:rsidRPr="009C3402" w:rsidRDefault="00246D72" w:rsidP="00246D72">
      <w:pPr>
        <w:pStyle w:val="1"/>
        <w:spacing w:before="120"/>
        <w:rPr>
          <w:sz w:val="20"/>
          <w:szCs w:val="20"/>
        </w:rPr>
      </w:pPr>
      <w:r w:rsidRPr="009C3402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246D72" w:rsidRPr="00246D72" w:rsidRDefault="00246D72" w:rsidP="00246D72">
      <w:pPr>
        <w:ind w:left="-54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C3402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246D72" w:rsidRPr="00246D72" w:rsidSect="00246D72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A7"/>
    <w:rsid w:val="00072A3E"/>
    <w:rsid w:val="00077C11"/>
    <w:rsid w:val="000B6368"/>
    <w:rsid w:val="00180FAD"/>
    <w:rsid w:val="00246D72"/>
    <w:rsid w:val="002C7F6E"/>
    <w:rsid w:val="002E10A7"/>
    <w:rsid w:val="003D51BA"/>
    <w:rsid w:val="003E0446"/>
    <w:rsid w:val="003E0984"/>
    <w:rsid w:val="003F5542"/>
    <w:rsid w:val="004C2316"/>
    <w:rsid w:val="00563A7F"/>
    <w:rsid w:val="0060541D"/>
    <w:rsid w:val="00702FF4"/>
    <w:rsid w:val="00800FB6"/>
    <w:rsid w:val="008B0D55"/>
    <w:rsid w:val="008B1844"/>
    <w:rsid w:val="009175E4"/>
    <w:rsid w:val="00964B19"/>
    <w:rsid w:val="00A77590"/>
    <w:rsid w:val="00A80A54"/>
    <w:rsid w:val="00B569DF"/>
    <w:rsid w:val="00BF1F0D"/>
    <w:rsid w:val="00CA5595"/>
    <w:rsid w:val="00D02DE5"/>
    <w:rsid w:val="00D35251"/>
    <w:rsid w:val="00DA3DF4"/>
    <w:rsid w:val="00ED5BB2"/>
    <w:rsid w:val="00FC4BE6"/>
    <w:rsid w:val="00FC58BD"/>
    <w:rsid w:val="00FD0B47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02FF4"/>
    <w:rPr>
      <w:rFonts w:ascii="HelveticaNeueCyr-Light" w:hAnsi="HelveticaNeueCyr-Ligh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702FF4"/>
    <w:rPr>
      <w:rFonts w:ascii="HelveticaNeueCyr-Medium" w:hAnsi="HelveticaNeueCyr-Medium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3D51BA"/>
    <w:rPr>
      <w:rFonts w:ascii="HelveticaNeueCyr-Medium" w:hAnsi="HelveticaNeueCyr-Medium" w:hint="default"/>
      <w:b/>
      <w:bCs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3D51BA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246D7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7</cp:revision>
  <dcterms:created xsi:type="dcterms:W3CDTF">2020-06-10T16:48:00Z</dcterms:created>
  <dcterms:modified xsi:type="dcterms:W3CDTF">2020-06-10T17:47:00Z</dcterms:modified>
</cp:coreProperties>
</file>